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208"/>
        <w:gridCol w:w="359"/>
        <w:gridCol w:w="8505"/>
        <w:gridCol w:w="2248"/>
      </w:tblGrid>
      <w:tr w:rsidR="001A2026" w:rsidRPr="007504AA" w:rsidTr="00AB7C3C">
        <w:trPr>
          <w:trHeight w:val="454"/>
        </w:trPr>
        <w:tc>
          <w:tcPr>
            <w:tcW w:w="14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1A2026" w:rsidRDefault="001A2026" w:rsidP="00AB7C3C">
            <w:pPr>
              <w:pStyle w:val="2"/>
              <w:rPr>
                <w:rFonts w:ascii="Times New Roman" w:hAnsi="Times New Roman" w:cs="Times New Roman"/>
                <w:b/>
              </w:rPr>
            </w:pPr>
            <w:bookmarkStart w:id="0" w:name="_Toc504990264"/>
            <w:r w:rsidRPr="001A2026">
              <w:rPr>
                <w:rFonts w:ascii="Times New Roman" w:hAnsi="Times New Roman" w:cs="Times New Roman"/>
                <w:b/>
              </w:rPr>
              <w:t>ПОРУЧИТЕЛЬСТВО, ВЫДАВАЕМОЕ СОВМЕСТНО С ПРЯМОЙ ГАРАНТИЕЙ КОРПОРАЦИИ МСП /</w:t>
            </w:r>
            <w:bookmarkEnd w:id="0"/>
          </w:p>
          <w:p w:rsidR="001A2026" w:rsidRPr="005B1A9B" w:rsidRDefault="001A2026" w:rsidP="00AB7C3C">
            <w:pPr>
              <w:pStyle w:val="2"/>
            </w:pPr>
            <w:bookmarkStart w:id="1" w:name="_Toc504990265"/>
            <w:r w:rsidRPr="001A2026">
              <w:rPr>
                <w:rFonts w:ascii="Times New Roman" w:hAnsi="Times New Roman" w:cs="Times New Roman"/>
                <w:b/>
              </w:rPr>
              <w:t>МСП БАНКА / ПОРУЧИТЕЛЬСТВОМ РГО (СОГАРАНТИЯ)</w:t>
            </w:r>
            <w:bookmarkEnd w:id="1"/>
            <w:r w:rsidRPr="001A202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1A2026" w:rsidRPr="007504AA" w:rsidTr="00AB7C3C">
        <w:trPr>
          <w:trHeight w:val="1342"/>
        </w:trPr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A2026" w:rsidRPr="007504AA" w:rsidRDefault="001A2026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/гарантии</w:t>
            </w:r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327B2A" w:rsidRDefault="001A202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исполнения части обязательств Заемщиков/Принципалов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по:</w:t>
            </w:r>
          </w:p>
          <w:p w:rsidR="001A2026" w:rsidRPr="00327B2A" w:rsidRDefault="001A2026" w:rsidP="00AB7C3C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финансовыми организациями 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о предоставлении банковских гарантий; </w:t>
            </w:r>
          </w:p>
          <w:p w:rsidR="001A2026" w:rsidRPr="007504AA" w:rsidRDefault="001A2026" w:rsidP="00AB7C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финансовыми организациями 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а/</w:t>
            </w:r>
            <w:r w:rsidRPr="00325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о предоставлении банковских гарантий</w:t>
            </w:r>
          </w:p>
        </w:tc>
      </w:tr>
      <w:tr w:rsidR="001A2026" w:rsidRPr="007504AA" w:rsidTr="00AB7C3C">
        <w:trPr>
          <w:trHeight w:val="437"/>
        </w:trPr>
        <w:tc>
          <w:tcPr>
            <w:tcW w:w="14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1A2026" w:rsidRPr="007504AA" w:rsidTr="00AB7C3C">
        <w:trPr>
          <w:trHeight w:val="523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327B2A" w:rsidRDefault="001A2026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Целевое использование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банковских гарантий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026" w:rsidRPr="00327B2A" w:rsidRDefault="001A2026" w:rsidP="00AB7C3C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Максимальный срок гарантии, мес.</w:t>
            </w:r>
          </w:p>
        </w:tc>
      </w:tr>
      <w:tr w:rsidR="001A2026" w:rsidRPr="007504AA" w:rsidTr="00AB7C3C">
        <w:trPr>
          <w:trHeight w:val="299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327B2A" w:rsidRDefault="001A2026" w:rsidP="00AB7C3C">
            <w:pPr>
              <w:widowControl w:val="0"/>
              <w:tabs>
                <w:tab w:val="left" w:pos="21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26" w:rsidRPr="00327B2A" w:rsidRDefault="001A2026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ия части обязательств Заемщиков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кредитным договорам и иным договорам кредитного характера, заключаемым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выданных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кредитов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t>
            </w:r>
            <w:r w:rsidRPr="00055C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 учетом отнесения Заемщика только к Среднему сегменту)</w:t>
            </w: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026" w:rsidRDefault="001A2026" w:rsidP="00AB7C3C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184 </w:t>
            </w:r>
          </w:p>
        </w:tc>
      </w:tr>
      <w:tr w:rsidR="001A2026" w:rsidRPr="007504AA" w:rsidTr="00AB7C3C">
        <w:trPr>
          <w:trHeight w:val="243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327B2A" w:rsidRDefault="001A2026" w:rsidP="00AB7C3C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26" w:rsidRPr="00327B2A" w:rsidRDefault="001A2026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требований  Банка к Заемщику </w:t>
            </w:r>
            <w:r w:rsidRPr="00C04B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банковской  гарантии,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выданной или выдаваемой Банком, в обеспечение исполнения Заемщиком его обязательств по контракту, </w:t>
            </w: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026" w:rsidRDefault="001A2026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1A2026" w:rsidRPr="007504AA" w:rsidTr="00AB7C3C">
        <w:trPr>
          <w:trHeight w:val="224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Default="001A2026" w:rsidP="00AB7C3C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26" w:rsidRDefault="001A2026" w:rsidP="00AB7C3C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</w:t>
            </w: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026" w:rsidRDefault="001A2026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1A2026" w:rsidRPr="007504AA" w:rsidTr="00AB7C3C">
        <w:trPr>
          <w:trHeight w:val="187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Default="001A2026" w:rsidP="00AB7C3C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26" w:rsidRDefault="001A2026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реструктурируемых</w:t>
            </w:r>
            <w:proofErr w:type="spell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/рефинансируемых кредитов.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026" w:rsidRDefault="001A2026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</w:tr>
      <w:tr w:rsidR="001A2026" w:rsidRPr="007504AA" w:rsidTr="00AB7C3C">
        <w:trPr>
          <w:trHeight w:val="187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Default="001A2026" w:rsidP="00AB7C3C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26" w:rsidRPr="00055C80" w:rsidRDefault="001A2026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0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2026" w:rsidRDefault="001A2026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1A2026" w:rsidRPr="007504AA" w:rsidTr="00AB7C3C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327B2A" w:rsidRDefault="001A2026" w:rsidP="00AB7C3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1A2026" w:rsidRPr="00327B2A" w:rsidRDefault="001A2026" w:rsidP="00AB7C3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1A2026" w:rsidRPr="00327B2A" w:rsidRDefault="001A2026" w:rsidP="00AB7C3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1A2026" w:rsidRPr="00327B2A" w:rsidRDefault="001A2026" w:rsidP="00AB7C3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ё</w:t>
            </w: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  <w:p w:rsidR="001A2026" w:rsidRPr="00327B2A" w:rsidRDefault="001A2026" w:rsidP="00AB7C3C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Независимая банковская гарантия</w:t>
            </w:r>
          </w:p>
        </w:tc>
      </w:tr>
      <w:tr w:rsidR="001A2026" w:rsidRPr="007504AA" w:rsidTr="00AB7C3C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займу/ банковской 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7504AA" w:rsidRDefault="001A2026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обеспечения кредита/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/банковской гарантии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организации, в том числе гарантия Корпорации МСП/МСП Банка)</w:t>
            </w:r>
          </w:p>
        </w:tc>
      </w:tr>
      <w:tr w:rsidR="001A2026" w:rsidRPr="007504AA" w:rsidTr="00AB7C3C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займа/банковской 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7504AA" w:rsidRDefault="001A2026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1A2026" w:rsidRPr="007504AA" w:rsidTr="00AB7C3C">
        <w:trPr>
          <w:trHeight w:val="378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7504AA" w:rsidRDefault="001A202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41C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 не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более </w:t>
            </w:r>
            <w:r w:rsidRPr="00B41C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действия гарантии минус 120 дней.</w:t>
            </w:r>
          </w:p>
        </w:tc>
      </w:tr>
      <w:tr w:rsidR="001A2026" w:rsidRPr="007504AA" w:rsidTr="00AB7C3C">
        <w:trPr>
          <w:trHeight w:val="378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3D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 действия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7504AA" w:rsidRDefault="001A202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решению Коллегиального органа Корпорации МСП</w:t>
            </w:r>
            <w:r w:rsidRPr="001E791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МСП Банка, но не </w:t>
            </w:r>
            <w:proofErr w:type="gramStart"/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указанного</w:t>
            </w:r>
            <w:proofErr w:type="gramEnd"/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разделе «Целевое назначение»</w:t>
            </w:r>
          </w:p>
        </w:tc>
      </w:tr>
      <w:tr w:rsidR="001A2026" w:rsidRPr="007504AA" w:rsidTr="00AB7C3C">
        <w:trPr>
          <w:trHeight w:val="378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1A2026" w:rsidRDefault="001A2026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</w:p>
          <w:p w:rsidR="001A2026" w:rsidRPr="007504AA" w:rsidRDefault="001A2026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7504AA" w:rsidRDefault="001A2026" w:rsidP="00AB7C3C">
            <w:pPr>
              <w:tabs>
                <w:tab w:val="left" w:pos="1656"/>
              </w:tabs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обязательства по банковской гарантии, определяемого в соответствии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положениями кредитного договора/ договора займа,/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 о предоставлении банковской гарантии.</w:t>
            </w:r>
          </w:p>
        </w:tc>
      </w:tr>
      <w:tr w:rsidR="001A2026" w:rsidRPr="007504AA" w:rsidTr="00AB7C3C">
        <w:trPr>
          <w:trHeight w:val="445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7504AA" w:rsidRDefault="001A202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реш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ению Кредитного совета Фонда в рамках  действующих продуктов Фонда.</w:t>
            </w:r>
          </w:p>
        </w:tc>
      </w:tr>
      <w:tr w:rsidR="001A2026" w:rsidRPr="007504AA" w:rsidTr="00AB7C3C">
        <w:trPr>
          <w:trHeight w:val="445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9563FD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71C8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Лимит суммы 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9563FD" w:rsidRDefault="001A202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решению Коллегиального органа Корпорации МСП / </w:t>
            </w:r>
            <w:r w:rsidRPr="00723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 Банка</w:t>
            </w:r>
          </w:p>
        </w:tc>
      </w:tr>
      <w:tr w:rsidR="001A2026" w:rsidRPr="007504AA" w:rsidTr="00AB7C3C">
        <w:trPr>
          <w:trHeight w:val="445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1A2026" w:rsidRPr="009563FD" w:rsidRDefault="001A2026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Default="001A2026" w:rsidP="00AB7C3C">
            <w:pPr>
              <w:spacing w:after="0" w:line="240" w:lineRule="auto"/>
              <w:ind w:left="214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Гарантия и поручительство совместно обеспечивают исполнение обязательств Заемщика по возврату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B66C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75%</w:t>
            </w: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6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t>
            </w:r>
            <w:r w:rsidRPr="00B66C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6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A2026" w:rsidRPr="00FE3DEA" w:rsidRDefault="001A2026" w:rsidP="00AB7C3C">
            <w:pPr>
              <w:spacing w:after="0" w:line="240" w:lineRule="auto"/>
              <w:ind w:left="214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2026" w:rsidRPr="007504AA" w:rsidTr="00AB7C3C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7504AA" w:rsidRDefault="001A202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0,5 %   годовых от суммы поручительства для всех видов деятельности</w:t>
            </w:r>
          </w:p>
        </w:tc>
      </w:tr>
      <w:tr w:rsidR="001A2026" w:rsidRPr="007504AA" w:rsidTr="00AB7C3C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0F333D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F333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0F333D" w:rsidRDefault="001A202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33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0,75% годовых от суммы гарантии за весь срок действия гарантии (вознаграждение включает в себя сумму НДС 18%)</w:t>
            </w:r>
          </w:p>
          <w:p w:rsidR="001A2026" w:rsidRPr="000F333D" w:rsidRDefault="001A202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33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года.</w:t>
            </w:r>
          </w:p>
        </w:tc>
      </w:tr>
      <w:tr w:rsidR="001A2026" w:rsidRPr="007504AA" w:rsidTr="00AB7C3C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за поручительство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A2026" w:rsidRPr="007504AA" w:rsidRDefault="001A202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при сроке поручительства более 3-х лет</w:t>
            </w:r>
          </w:p>
        </w:tc>
      </w:tr>
      <w:tr w:rsidR="001A2026" w:rsidRPr="007504AA" w:rsidTr="00AB7C3C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1242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за гарантию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Единовременно/ежегодно/1 раз в полгода/ежеквартально</w:t>
            </w:r>
          </w:p>
        </w:tc>
      </w:tr>
      <w:tr w:rsidR="001A2026" w:rsidRPr="007504AA" w:rsidTr="00AB7C3C">
        <w:trPr>
          <w:trHeight w:val="506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/Принципалу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62502B" w:rsidRDefault="001A2026" w:rsidP="001A202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для предоставления поручительства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A2026" w:rsidRPr="00327B2A" w:rsidRDefault="001A2026" w:rsidP="001A2026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Регистрация субъекта МСП  </w:t>
            </w:r>
            <w:r w:rsidRPr="00172E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регионах Дальневосточного федерального округа</w:t>
            </w:r>
          </w:p>
        </w:tc>
      </w:tr>
      <w:tr w:rsidR="001A2026" w:rsidRPr="007504AA" w:rsidTr="00AB7C3C">
        <w:trPr>
          <w:trHeight w:val="506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Корпорацией МСП / МСП Банком  и Фондом  соглашени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сотрудничестве</w:t>
            </w:r>
          </w:p>
        </w:tc>
      </w:tr>
      <w:tr w:rsidR="001A2026" w:rsidRPr="007504AA" w:rsidTr="00AB7C3C">
        <w:trPr>
          <w:trHeight w:val="514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  <w:r w:rsidRPr="00A769E4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 календарных дней с даты неисполнения Заемщиком  своих обязательств по кредитным договорам, договорам займа 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</w:t>
            </w:r>
            <w:proofErr w:type="gramEnd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A2026" w:rsidRPr="007504AA" w:rsidTr="00AB7C3C">
        <w:trPr>
          <w:trHeight w:val="514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A7B3F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69E4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Гарантийный случай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2E26F8" w:rsidRDefault="001A202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6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1A2026" w:rsidRPr="007504AA" w:rsidTr="00AB7C3C">
        <w:trPr>
          <w:trHeight w:val="74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Переход права требования 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Default="001A202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 приобретает право требовать от Заемщика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организацией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  <w:p w:rsidR="001A2026" w:rsidRPr="007504AA" w:rsidRDefault="001A202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6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Корпорация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МСП/МСП Банк </w:t>
            </w:r>
            <w:r w:rsidRPr="00A76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приобретает право требовать от Заемщика в порядке регресса возмещения сумм, уплаченных Банку по независимой гарантии. </w:t>
            </w:r>
          </w:p>
        </w:tc>
      </w:tr>
      <w:tr w:rsidR="001A2026" w:rsidRPr="007504AA" w:rsidTr="00AB7C3C">
        <w:trPr>
          <w:trHeight w:val="74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7504AA" w:rsidRDefault="001A2026" w:rsidP="001A2026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A2026" w:rsidRPr="003A777D" w:rsidRDefault="001A2026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выдачи гарантии в Корпорацию</w:t>
            </w:r>
            <w:r w:rsidRPr="00ED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МСП / МСП 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быть предоставлена копия заключенного договора поручительства, заверенная уполномоченным лицом </w:t>
            </w:r>
            <w:r w:rsidRPr="00FB00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ой</w:t>
            </w:r>
            <w:r w:rsidRPr="00FB00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24082" w:rsidRPr="00C97812" w:rsidRDefault="00124082" w:rsidP="00124082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C97812">
        <w:rPr>
          <w:rFonts w:ascii="Times New Roman" w:hAnsi="Times New Roman"/>
        </w:rPr>
        <w:t xml:space="preserve">Условия  по продукту могут быть изменены  </w:t>
      </w:r>
      <w:r>
        <w:rPr>
          <w:rFonts w:ascii="Times New Roman" w:hAnsi="Times New Roman"/>
        </w:rPr>
        <w:t>п</w:t>
      </w:r>
      <w:r w:rsidRPr="004A6486">
        <w:rPr>
          <w:rFonts w:ascii="Times New Roman" w:hAnsi="Times New Roman"/>
        </w:rPr>
        <w:t>о решению Коллегиального органа Корпорации МСП</w:t>
      </w:r>
      <w:r w:rsidRPr="004A6486">
        <w:rPr>
          <w:rFonts w:ascii="Times New Roman" w:hAnsi="Times New Roman"/>
          <w:b/>
        </w:rPr>
        <w:t xml:space="preserve"> / </w:t>
      </w:r>
      <w:r w:rsidRPr="004A6486">
        <w:rPr>
          <w:rFonts w:ascii="Times New Roman" w:hAnsi="Times New Roman"/>
        </w:rPr>
        <w:t>МСП Банка</w:t>
      </w:r>
    </w:p>
    <w:p w:rsidR="003E4042" w:rsidRDefault="00124082">
      <w:bookmarkStart w:id="2" w:name="_GoBack"/>
      <w:bookmarkEnd w:id="2"/>
    </w:p>
    <w:sectPr w:rsidR="003E4042" w:rsidSect="00020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A1" w:rsidRDefault="000207A1" w:rsidP="000207A1">
      <w:pPr>
        <w:spacing w:after="0" w:line="240" w:lineRule="auto"/>
      </w:pPr>
      <w:r>
        <w:separator/>
      </w:r>
    </w:p>
  </w:endnote>
  <w:endnote w:type="continuationSeparator" w:id="0">
    <w:p w:rsidR="000207A1" w:rsidRDefault="000207A1" w:rsidP="0002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A1" w:rsidRDefault="000207A1" w:rsidP="000207A1">
      <w:pPr>
        <w:spacing w:after="0" w:line="240" w:lineRule="auto"/>
      </w:pPr>
      <w:r>
        <w:separator/>
      </w:r>
    </w:p>
  </w:footnote>
  <w:footnote w:type="continuationSeparator" w:id="0">
    <w:p w:rsidR="000207A1" w:rsidRDefault="000207A1" w:rsidP="0002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382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A1"/>
    <w:rsid w:val="000207A1"/>
    <w:rsid w:val="00124082"/>
    <w:rsid w:val="00162B89"/>
    <w:rsid w:val="001A2026"/>
    <w:rsid w:val="003A1E81"/>
    <w:rsid w:val="00770FCF"/>
    <w:rsid w:val="009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A1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20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7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0207A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207A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207A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20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A1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20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7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0207A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207A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207A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20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dcterms:created xsi:type="dcterms:W3CDTF">2017-05-17T02:49:00Z</dcterms:created>
  <dcterms:modified xsi:type="dcterms:W3CDTF">2019-06-28T01:52:00Z</dcterms:modified>
</cp:coreProperties>
</file>