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5"/>
        <w:gridCol w:w="359"/>
        <w:gridCol w:w="8242"/>
        <w:gridCol w:w="2531"/>
      </w:tblGrid>
      <w:tr w:rsidR="00765C63" w:rsidRPr="007504AA" w:rsidTr="00AB7C3C">
        <w:trPr>
          <w:trHeight w:val="454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65C63" w:rsidRDefault="00765C63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59"/>
            <w:bookmarkStart w:id="1" w:name="_GoBack"/>
            <w:r w:rsidRPr="00765C63">
              <w:rPr>
                <w:rFonts w:ascii="Times New Roman" w:hAnsi="Times New Roman" w:cs="Times New Roman"/>
                <w:b/>
              </w:rPr>
              <w:t>ПОРУЧИТЕЛЬСТВО ДЛЯ МОНОГОРОДОВ</w:t>
            </w:r>
            <w:bookmarkEnd w:id="0"/>
            <w:bookmarkEnd w:id="1"/>
          </w:p>
        </w:tc>
      </w:tr>
      <w:tr w:rsidR="00765C63" w:rsidRPr="007504AA" w:rsidTr="00AB7C3C">
        <w:trPr>
          <w:trHeight w:val="1342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65C63" w:rsidRPr="007504AA" w:rsidRDefault="00765C63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65C63" w:rsidRPr="007504AA" w:rsidRDefault="00765C6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327B2A" w:rsidRDefault="00765C6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Заемщиков/Принципалов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по:</w:t>
            </w:r>
          </w:p>
          <w:p w:rsidR="00765C63" w:rsidRPr="00327B2A" w:rsidRDefault="00765C63" w:rsidP="00AB7C3C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о предоставлении банковских гарантий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65C63" w:rsidRPr="007504AA" w:rsidRDefault="00765C63" w:rsidP="00AB7C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гарантий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65C63" w:rsidRPr="007504AA" w:rsidTr="00AB7C3C">
        <w:trPr>
          <w:trHeight w:val="437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765C63" w:rsidRPr="007504AA" w:rsidTr="00AB7C3C">
        <w:trPr>
          <w:trHeight w:val="523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кредитов, займов, банковских гарантий</w:t>
            </w:r>
            <w: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 соответствовать целевому использованию кредитов, займов, банковских гарантий   в рамках продуктов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Фонда: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действия поручительства, мес.</w:t>
            </w:r>
          </w:p>
        </w:tc>
      </w:tr>
      <w:tr w:rsidR="00765C63" w:rsidRPr="007504AA" w:rsidTr="00AB7C3C">
        <w:trPr>
          <w:trHeight w:val="299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7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«Поручительство для инвестиций»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765C63" w:rsidRPr="007504AA" w:rsidTr="00AB7C3C">
        <w:trPr>
          <w:trHeight w:val="243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3" w:rsidRPr="00327B2A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льство для обеспечения кредитов/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 на пополнение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оборотных средств»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765C63" w:rsidRPr="007504AA" w:rsidTr="00AB7C3C">
        <w:trPr>
          <w:trHeight w:val="224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Default="00765C63" w:rsidP="00AB7C3C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ьство для обеспечения кредитов 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займов  на исполнение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контрактов»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765C63" w:rsidRPr="007504AA" w:rsidTr="00AB7C3C">
        <w:trPr>
          <w:trHeight w:val="187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Default="00765C63" w:rsidP="00AB7C3C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«Поручительство 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 рефинансируемых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765C63" w:rsidRPr="007504AA" w:rsidTr="00AB7C3C">
        <w:trPr>
          <w:trHeight w:val="405"/>
        </w:trPr>
        <w:tc>
          <w:tcPr>
            <w:tcW w:w="37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Default="00765C63" w:rsidP="00AB7C3C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«Поручительство для обеспечения банковских гарантий»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5C63" w:rsidRDefault="00765C63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765C63" w:rsidRPr="007504AA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327B2A" w:rsidRDefault="00765C63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765C63" w:rsidRPr="00327B2A" w:rsidRDefault="00765C63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765C63" w:rsidRPr="00327B2A" w:rsidRDefault="00765C63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765C63" w:rsidRPr="00327B2A" w:rsidRDefault="00765C63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Займ</w:t>
            </w:r>
            <w:proofErr w:type="spellEnd"/>
          </w:p>
          <w:p w:rsidR="00765C63" w:rsidRPr="00327B2A" w:rsidRDefault="00765C63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765C63" w:rsidRPr="007504AA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/банковской гарантии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765C63" w:rsidRPr="007504AA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765C63" w:rsidRPr="007504AA" w:rsidTr="00AB7C3C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рок действия 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 не </w:t>
            </w:r>
            <w:proofErr w:type="gramStart"/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765C63" w:rsidRPr="007504AA" w:rsidTr="00AB7C3C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Дата окончания </w:t>
            </w:r>
          </w:p>
          <w:p w:rsidR="00765C63" w:rsidRPr="0026352D" w:rsidRDefault="00765C6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635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(обязательства по банковской гарантии), определяемого в соответствии с положениями кредит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договора/договора займа/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 о предоставлении банковской гарантии.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C63" w:rsidRPr="007504AA" w:rsidTr="00AB7C3C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 5 млн. руб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65C63" w:rsidRPr="007504AA" w:rsidTr="00AB7C3C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765C63" w:rsidRPr="009563FD" w:rsidRDefault="00765C6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Default="00765C63" w:rsidP="00765C63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/Принципалом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/договору о предоставлении банковской гарантии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рганизацией по такому  договору;</w:t>
            </w:r>
          </w:p>
          <w:p w:rsidR="00765C63" w:rsidRPr="007504AA" w:rsidRDefault="00765C63" w:rsidP="00765C63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Заемщиком/Принципалом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договору/договору займа/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договору о предоставлении банковской гарантии)  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 займа/банковской гарантии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65C63" w:rsidRPr="007504AA" w:rsidTr="00AB7C3C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0,5 %   годовых от суммы поручительства для всех видов деятельности</w:t>
            </w:r>
          </w:p>
        </w:tc>
      </w:tr>
      <w:tr w:rsidR="00765C63" w:rsidRPr="007504AA" w:rsidTr="00AB7C3C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65C63" w:rsidRPr="007504AA" w:rsidRDefault="00765C6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765C63" w:rsidRPr="007504AA" w:rsidTr="00AB7C3C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Default="00765C63" w:rsidP="00765C6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00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поручительства. Субъект МСП зарегистрирован и осуществляет (планирует осуществлять) свою деятельность на территории Хабаровского края.</w:t>
            </w:r>
          </w:p>
          <w:p w:rsidR="00765C63" w:rsidRPr="00327B2A" w:rsidRDefault="00765C63" w:rsidP="00765C6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инфраструктуры поддержки субъектов МСП в </w:t>
            </w: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образованиях (моногородах), соответствующих критериям, 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765C63" w:rsidRPr="007504AA" w:rsidTr="00AB7C3C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765C63" w:rsidRPr="007504AA" w:rsidTr="00AB7C3C">
        <w:trPr>
          <w:trHeight w:val="514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своих обяз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ательств по кредитным договорам/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займа и 30 календарных дней с даты неисполнения Принципалом своих обязательств по договору о предоставлении банковской гарантии  и непогашения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65C63" w:rsidRPr="007504AA" w:rsidTr="00AB7C3C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Переход права требования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765C63" w:rsidRPr="007504AA" w:rsidTr="00AB7C3C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7504AA" w:rsidRDefault="00765C63" w:rsidP="00765C6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765C63" w:rsidRPr="00A236B9" w:rsidRDefault="00765C63" w:rsidP="00AB7C3C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765C63" w:rsidRPr="00A236B9" w:rsidRDefault="00765C63" w:rsidP="00765C63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65C63" w:rsidRPr="009A7F5F" w:rsidRDefault="00765C63" w:rsidP="00765C63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</w:tbl>
    <w:p w:rsidR="003E4042" w:rsidRPr="00CA6B42" w:rsidRDefault="00CA6B42" w:rsidP="00CA6B42">
      <w:pPr>
        <w:jc w:val="both"/>
        <w:rPr>
          <w:rFonts w:ascii="Times New Roman" w:hAnsi="Times New Roman"/>
          <w:sz w:val="24"/>
          <w:szCs w:val="24"/>
        </w:rPr>
      </w:pPr>
      <w:r w:rsidRPr="00CA6B42">
        <w:t xml:space="preserve">* </w:t>
      </w:r>
      <w:r w:rsidRPr="00CA6B42">
        <w:rPr>
          <w:rFonts w:ascii="Times New Roman" w:hAnsi="Times New Roman"/>
          <w:sz w:val="24"/>
          <w:szCs w:val="24"/>
        </w:rPr>
        <w:t xml:space="preserve">На территории Хабаровского края  - поселок городского типа  </w:t>
      </w:r>
      <w:proofErr w:type="spellStart"/>
      <w:r w:rsidRPr="00CA6B42">
        <w:rPr>
          <w:rFonts w:ascii="Times New Roman" w:hAnsi="Times New Roman"/>
          <w:sz w:val="24"/>
          <w:szCs w:val="24"/>
        </w:rPr>
        <w:t>Эльбан</w:t>
      </w:r>
      <w:proofErr w:type="spellEnd"/>
      <w:r w:rsidRPr="00CA6B42">
        <w:rPr>
          <w:rFonts w:ascii="Times New Roman" w:hAnsi="Times New Roman"/>
          <w:sz w:val="24"/>
          <w:szCs w:val="24"/>
        </w:rPr>
        <w:t xml:space="preserve"> и агломерация «Большой Чегдомын», включающая в себя</w:t>
      </w:r>
      <w:r w:rsidRPr="00CA6B42">
        <w:rPr>
          <w:rFonts w:ascii="Times New Roman" w:eastAsiaTheme="minorHAnsi" w:hAnsi="Times New Roman"/>
          <w:color w:val="494949"/>
          <w:sz w:val="24"/>
          <w:szCs w:val="24"/>
          <w:shd w:val="clear" w:color="auto" w:fill="FFFFFF"/>
          <w:lang w:eastAsia="en-US"/>
        </w:rPr>
        <w:t xml:space="preserve"> </w:t>
      </w:r>
      <w:r w:rsidRPr="00CA6B42">
        <w:rPr>
          <w:rFonts w:ascii="Times New Roman" w:hAnsi="Times New Roman"/>
          <w:sz w:val="24"/>
          <w:szCs w:val="24"/>
        </w:rPr>
        <w:t xml:space="preserve">городское поселение «Рабочий поселок Чегдомын», </w:t>
      </w:r>
      <w:proofErr w:type="spellStart"/>
      <w:r w:rsidRPr="00CA6B42">
        <w:rPr>
          <w:rFonts w:ascii="Times New Roman" w:hAnsi="Times New Roman"/>
          <w:sz w:val="24"/>
          <w:szCs w:val="24"/>
        </w:rPr>
        <w:t>Новоургальское</w:t>
      </w:r>
      <w:proofErr w:type="spellEnd"/>
      <w:r w:rsidRPr="00CA6B42">
        <w:rPr>
          <w:rFonts w:ascii="Times New Roman" w:hAnsi="Times New Roman"/>
          <w:sz w:val="24"/>
          <w:szCs w:val="24"/>
        </w:rPr>
        <w:t xml:space="preserve"> городское поселение, а также сельские поселения  </w:t>
      </w:r>
      <w:proofErr w:type="spellStart"/>
      <w:r w:rsidRPr="00CA6B42">
        <w:rPr>
          <w:rFonts w:ascii="Times New Roman" w:hAnsi="Times New Roman"/>
          <w:sz w:val="24"/>
          <w:szCs w:val="24"/>
        </w:rPr>
        <w:t>Среднеургальское</w:t>
      </w:r>
      <w:proofErr w:type="spellEnd"/>
      <w:r w:rsidRPr="00CA6B42">
        <w:rPr>
          <w:rFonts w:ascii="Times New Roman" w:hAnsi="Times New Roman"/>
          <w:sz w:val="24"/>
          <w:szCs w:val="24"/>
        </w:rPr>
        <w:t xml:space="preserve">  и «Село </w:t>
      </w:r>
      <w:proofErr w:type="spellStart"/>
      <w:r w:rsidRPr="00CA6B42">
        <w:rPr>
          <w:rFonts w:ascii="Times New Roman" w:hAnsi="Times New Roman"/>
          <w:sz w:val="24"/>
          <w:szCs w:val="24"/>
        </w:rPr>
        <w:t>Усть</w:t>
      </w:r>
      <w:proofErr w:type="spellEnd"/>
      <w:r w:rsidRPr="00CA6B42">
        <w:rPr>
          <w:rFonts w:ascii="Times New Roman" w:hAnsi="Times New Roman"/>
          <w:sz w:val="24"/>
          <w:szCs w:val="24"/>
        </w:rPr>
        <w:t>-Ургал»</w:t>
      </w:r>
    </w:p>
    <w:sectPr w:rsidR="003E4042" w:rsidRPr="00CA6B42" w:rsidSect="002E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0"/>
    <w:rsid w:val="00162B89"/>
    <w:rsid w:val="002E6080"/>
    <w:rsid w:val="003A1E81"/>
    <w:rsid w:val="00765C63"/>
    <w:rsid w:val="00770FCF"/>
    <w:rsid w:val="00C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0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2E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0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2E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2017-05-17T02:46:00Z</dcterms:created>
  <dcterms:modified xsi:type="dcterms:W3CDTF">2019-06-28T01:44:00Z</dcterms:modified>
</cp:coreProperties>
</file>